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keepNext w:val="tru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shd w:fill="FFFFFF" w:val="clear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Style w:val="StrongEmphasis"/>
          <w:color w:val="000000"/>
          <w:sz w:val="33"/>
          <w:szCs w:val="33"/>
        </w:rPr>
        <w:t xml:space="preserve">        </w:t>
      </w:r>
      <w:r>
        <w:rPr>
          <w:rStyle w:val="StrongEmphasis"/>
          <w:color w:val="000000"/>
          <w:sz w:val="33"/>
          <w:szCs w:val="33"/>
        </w:rPr>
        <w:t>Договор о задатке № ________</w:t>
      </w:r>
    </w:p>
    <w:p>
      <w:pPr>
        <w:pStyle w:val="Style22"/>
        <w:shd w:fill="FFFFFF" w:val="clear"/>
        <w:jc w:val="right"/>
        <w:rPr>
          <w:rFonts w:ascii="Verdana" w:hAnsi="Verdana" w:cs="Verdana"/>
          <w:color w:val="000000"/>
          <w:sz w:val="17"/>
          <w:szCs w:val="17"/>
        </w:rPr>
      </w:pPr>
      <w:r>
        <w:rPr>
          <w:rFonts w:cs="Verdana" w:ascii="Verdana" w:hAnsi="Verdana"/>
          <w:color w:val="000000"/>
          <w:sz w:val="17"/>
          <w:szCs w:val="17"/>
        </w:rPr>
        <w:t> </w:t>
      </w:r>
    </w:p>
    <w:p>
      <w:pPr>
        <w:pStyle w:val="Style22"/>
        <w:shd w:fill="FFFFFF" w:val="clear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г. Казань                                                                                                                       «____»____________20__г                                                                                                                            </w:t>
      </w:r>
    </w:p>
    <w:p>
      <w:pPr>
        <w:pStyle w:val="Style22"/>
        <w:shd w:fill="FFFFFF" w:val="clear"/>
        <w:ind w:firstLine="142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     </w:t>
      </w:r>
      <w:r>
        <w:rPr>
          <w:color w:val="000000"/>
          <w:sz w:val="21"/>
          <w:szCs w:val="21"/>
        </w:rPr>
        <w:t>ООО «Электронная торговая площадка», именуемое в дальнейшем «Оператор» в лице директора Думпе Марины Викторовны, действующего на основании Устава, с одной стороны, и претендент на участие в электронных торгах__________________________________,  в лице____________________________, действующего(-ей) на основании ______________________________________________ , именуемое (-ый) в дальнейшем «Заявитель», с другой стороны, заключили настоящий Договор о задатке (далее «Договор») о нижеследующем:</w:t>
      </w:r>
    </w:p>
    <w:p>
      <w:pPr>
        <w:pStyle w:val="Style22"/>
        <w:shd w:fill="FFFFFF" w:val="clear"/>
        <w:ind w:left="567" w:hanging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StrongEmphasis"/>
          <w:color w:val="000000"/>
          <w:sz w:val="21"/>
          <w:szCs w:val="21"/>
        </w:rPr>
        <w:t>1. Предмет Договора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1.1. Предметом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«АРБбитЛот» по адресу https://torgi.arbbitlot.ru в сети Интернет (далее по тексту – ЭТП), в соответствии с Регламентом электронной площадки «АРБбитЛот» и Приказом Министерства экономического развития Российской Федерации от  23 июля 2015 г. №495. Размер задатка указан в сообщении о торгах, опубликованном в официальном издании.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1.2. Условия настоящего договора определены Оператором в стандартной форме, размещаемой на сайте https://torgi.arbbitlot.ru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1.4. Заявитель не вправе изменять условия настоящего договора.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StrongEmphasis"/>
          <w:color w:val="000000"/>
          <w:sz w:val="21"/>
          <w:szCs w:val="21"/>
        </w:rPr>
        <w:t>2. Порядок и сроки расчетов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2.2. Заявитель обязуется перечислить Задаток в следующий срок:</w:t>
      </w:r>
    </w:p>
    <w:p>
      <w:pPr>
        <w:pStyle w:val="Normal"/>
        <w:numPr>
          <w:ilvl w:val="0"/>
          <w:numId w:val="3"/>
        </w:numPr>
        <w:shd w:fill="FFFFFF" w:val="clear"/>
        <w:suppressAutoHyphens w:val="false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для участия в аукционе или конкурсе - в срок установленный в соответствии с сообщением о торгах,</w:t>
      </w:r>
    </w:p>
    <w:p>
      <w:pPr>
        <w:pStyle w:val="Normal"/>
        <w:numPr>
          <w:ilvl w:val="0"/>
          <w:numId w:val="3"/>
        </w:numPr>
        <w:shd w:fill="FFFFFF" w:val="clear"/>
        <w:suppressAutoHyphens w:val="false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40702810412020574079 , открытый в филиале «Корпоративный» ПАО «Совкомбанк» в г.Казани,БИК044525360.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2.5. Сумма задатка возвращается 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>
      <w:pPr>
        <w:pStyle w:val="Normal"/>
        <w:numPr>
          <w:ilvl w:val="0"/>
          <w:numId w:val="1"/>
        </w:numPr>
        <w:shd w:fill="FFFFFF" w:val="clear"/>
        <w:suppressAutoHyphens w:val="false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отзыва заявки на участие в торгах до окончания срока приема заявок;</w:t>
      </w:r>
    </w:p>
    <w:p>
      <w:pPr>
        <w:pStyle w:val="Normal"/>
        <w:numPr>
          <w:ilvl w:val="0"/>
          <w:numId w:val="1"/>
        </w:numPr>
        <w:shd w:fill="FFFFFF" w:val="clear"/>
        <w:suppressAutoHyphens w:val="false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принятия решения Организатором торгов об отказе в допуске Заявителя к участию в торгах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 </w:t>
      </w:r>
      <w:r>
        <w:rPr>
          <w:color w:val="333333"/>
          <w:sz w:val="21"/>
          <w:szCs w:val="21"/>
          <w:shd w:fill="FFFFFF" w:val="clear"/>
        </w:rPr>
        <w:t>Ploshadka-torgi@yandex.ru</w:t>
      </w:r>
      <w:r>
        <w:rPr>
          <w:color w:val="000000"/>
          <w:sz w:val="21"/>
          <w:szCs w:val="21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2.6. Сумма Задатка не возвращается Заявителю в следующих случаях:</w:t>
      </w:r>
    </w:p>
    <w:p>
      <w:pPr>
        <w:pStyle w:val="Normal"/>
        <w:numPr>
          <w:ilvl w:val="0"/>
          <w:numId w:val="2"/>
        </w:numPr>
        <w:shd w:fill="FFFFFF" w:val="clear"/>
        <w:suppressAutoHyphens w:val="false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>
      <w:pPr>
        <w:pStyle w:val="Normal"/>
        <w:numPr>
          <w:ilvl w:val="0"/>
          <w:numId w:val="2"/>
        </w:numPr>
        <w:shd w:fill="FFFFFF" w:val="clear"/>
        <w:suppressAutoHyphens w:val="false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не перечисления денежных средств в оплату лота в установленные договором купли-продажи сроки;</w:t>
      </w:r>
    </w:p>
    <w:p>
      <w:pPr>
        <w:pStyle w:val="Normal"/>
        <w:numPr>
          <w:ilvl w:val="0"/>
          <w:numId w:val="2"/>
        </w:numPr>
        <w:shd w:fill="FFFFFF" w:val="clear"/>
        <w:suppressAutoHyphens w:val="false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cs="Verdana" w:ascii="Verdana" w:hAnsi="Verdana"/>
          <w:color w:val="000000"/>
          <w:sz w:val="17"/>
          <w:szCs w:val="17"/>
        </w:rPr>
        <w:t> 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StrongEmphasis"/>
          <w:color w:val="000000"/>
          <w:sz w:val="21"/>
          <w:szCs w:val="21"/>
        </w:rPr>
        <w:t>3. Прочие условия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https://torgi.arbbitlot.ru и в сообщении о торгах опубликованном в соответствии с требованиями Федерального закона от 26.10.2002г. № 127-ФЗ "О несостоятельности (банкротстве)".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 </w:t>
      </w:r>
      <w:r>
        <w:rPr>
          <w:color w:val="333333"/>
          <w:sz w:val="21"/>
          <w:szCs w:val="21"/>
          <w:shd w:fill="FFFFFF" w:val="clear"/>
        </w:rPr>
        <w:t>Ploshadka-torgi@yandex.ru</w:t>
      </w:r>
      <w:r>
        <w:rPr>
          <w:color w:val="000000"/>
          <w:sz w:val="21"/>
          <w:szCs w:val="21"/>
        </w:rPr>
        <w:t>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 Федеральном законе от 27.07.2006  № 152-ФЗ, а также на передачу такой информации третьим лицам, в случаях,  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3.5. По всем вопросам, не указанным в Договоре, стороны руководствуются законодательством Российской Федерации.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«АРБбитЛот» (https://torgi.arbbitlot.ru).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(e-mail).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>
      <w:pPr>
        <w:pStyle w:val="Style22"/>
        <w:shd w:fill="FFFFFF" w:val="clear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>
      <w:pPr>
        <w:pStyle w:val="Style22"/>
        <w:shd w:fill="FFFFFF" w:val="clear"/>
        <w:spacing w:before="0" w:after="0"/>
        <w:ind w:firstLine="567"/>
        <w:jc w:val="both"/>
        <w:rPr/>
      </w:pPr>
      <w:r>
        <w:rPr/>
        <w:t> </w:t>
      </w:r>
    </w:p>
    <w:tbl>
      <w:tblPr>
        <w:tblW w:w="9531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8"/>
        <w:gridCol w:w="4243"/>
      </w:tblGrid>
      <w:tr>
        <w:trPr>
          <w:trHeight w:val="6805" w:hRule="exact"/>
        </w:trPr>
        <w:tc>
          <w:tcPr>
            <w:tcW w:w="5288" w:type="dxa"/>
            <w:tcBorders/>
          </w:tcPr>
          <w:p>
            <w:pPr>
              <w:pStyle w:val="Tableparagraph"/>
              <w:spacing w:lineRule="exact" w:line="183" w:before="100" w:after="100"/>
              <w:ind w:left="200" w:hanging="0"/>
              <w:jc w:val="both"/>
              <w:rPr/>
            </w:pPr>
            <w:r>
              <w:rPr>
                <w:rStyle w:val="StrongEmphasis"/>
                <w:bCs w:val="false"/>
                <w:sz w:val="18"/>
                <w:szCs w:val="22"/>
              </w:rPr>
              <w:t>Заявитель:</w:t>
            </w:r>
          </w:p>
          <w:p>
            <w:pPr>
              <w:pStyle w:val="Tableparagraph"/>
              <w:spacing w:lineRule="exact" w:line="183"/>
              <w:ind w:left="200" w:hanging="0"/>
              <w:jc w:val="both"/>
              <w:rPr>
                <w:sz w:val="18"/>
                <w:szCs w:val="22"/>
              </w:rPr>
            </w:pPr>
            <w:r>
              <w:rPr>
                <w:rStyle w:val="StrongEmphasis"/>
                <w:bCs w:val="false"/>
                <w:sz w:val="18"/>
                <w:szCs w:val="22"/>
              </w:rPr>
              <w:t>___________________________________________________</w:t>
            </w:r>
          </w:p>
          <w:p>
            <w:pPr>
              <w:pStyle w:val="Tableparagraph"/>
              <w:spacing w:before="9" w:after="0"/>
              <w:ind w:left="200" w:right="745" w:hanging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(наименование юридического лица /ФИО) Юридический адрес/Адрес регистрации гражданина:</w:t>
            </w:r>
          </w:p>
          <w:p>
            <w:pPr>
              <w:pStyle w:val="Tableparagraph"/>
              <w:spacing w:before="9" w:after="10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>
            <w:pPr>
              <w:pStyle w:val="Tableparagraph"/>
              <w:tabs>
                <w:tab w:val="clear" w:pos="720"/>
                <w:tab w:val="left" w:pos="4799" w:leader="none"/>
                <w:tab w:val="left" w:pos="4830" w:leader="none"/>
              </w:tabs>
              <w:spacing w:before="9" w:after="0"/>
              <w:ind w:left="200" w:right="451" w:hanging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Почтовый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адрес: 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z w:val="18"/>
                <w:szCs w:val="22"/>
                <w:u w:val="single"/>
              </w:rPr>
              <w:tab/>
              <w:tab/>
            </w:r>
            <w:r>
              <w:rPr>
                <w:sz w:val="18"/>
                <w:szCs w:val="22"/>
              </w:rPr>
              <w:t xml:space="preserve"> ОГРН/ОГРНИП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  <w:tab/>
            </w:r>
          </w:p>
          <w:p>
            <w:pPr>
              <w:pStyle w:val="Tableparagraph"/>
              <w:spacing w:lineRule="exact" w:line="218" w:before="0" w:after="0"/>
              <w:ind w:left="1688" w:right="745" w:hanging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(для юридического лица и ИП)</w:t>
            </w:r>
          </w:p>
          <w:p>
            <w:pPr>
              <w:pStyle w:val="Tableparagraph"/>
              <w:spacing w:before="11" w:after="10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>
            <w:pPr>
              <w:pStyle w:val="Tableparagraph"/>
              <w:tabs>
                <w:tab w:val="clear" w:pos="720"/>
                <w:tab w:val="left" w:pos="2684" w:leader="none"/>
                <w:tab w:val="left" w:pos="3226" w:leader="none"/>
                <w:tab w:val="left" w:pos="4727" w:leader="none"/>
              </w:tabs>
              <w:spacing w:before="1" w:after="0"/>
              <w:ind w:left="200" w:right="514" w:hanging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Паспортные</w:t>
            </w:r>
            <w:r>
              <w:rPr>
                <w:spacing w:val="-3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данные: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серия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  <w:tab/>
            </w:r>
            <w:r>
              <w:rPr>
                <w:sz w:val="18"/>
                <w:szCs w:val="22"/>
              </w:rPr>
              <w:t>№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Выдан:</w:t>
            </w:r>
            <w:r>
              <w:rPr>
                <w:sz w:val="18"/>
                <w:szCs w:val="22"/>
                <w:u w:val="single"/>
              </w:rPr>
              <w:tab/>
              <w:tab/>
              <w:tab/>
            </w:r>
            <w:r>
              <w:rPr>
                <w:sz w:val="18"/>
                <w:szCs w:val="22"/>
              </w:rPr>
              <w:t xml:space="preserve"> Дата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выдачи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</w:r>
            <w:r>
              <w:rPr>
                <w:sz w:val="18"/>
                <w:szCs w:val="22"/>
              </w:rPr>
              <w:t>код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rStyle w:val="Spelle"/>
                <w:sz w:val="18"/>
                <w:szCs w:val="22"/>
              </w:rPr>
              <w:t>подр</w:t>
            </w:r>
            <w:r>
              <w:rPr>
                <w:sz w:val="18"/>
                <w:szCs w:val="22"/>
              </w:rPr>
              <w:t>.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</w:r>
          </w:p>
          <w:p>
            <w:pPr>
              <w:pStyle w:val="Tableparagraph"/>
              <w:spacing w:before="2" w:after="10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>
            <w:pPr>
              <w:pStyle w:val="Tableparagraph"/>
              <w:spacing w:lineRule="exact" w:line="219"/>
              <w:ind w:left="200" w:hanging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Реквизиты для возврата задатка:</w:t>
            </w:r>
          </w:p>
          <w:p>
            <w:pPr>
              <w:pStyle w:val="Tableparagraph"/>
              <w:tabs>
                <w:tab w:val="clear" w:pos="720"/>
                <w:tab w:val="left" w:pos="4708" w:leader="none"/>
                <w:tab w:val="left" w:pos="4751" w:leader="none"/>
              </w:tabs>
              <w:spacing w:before="0" w:after="0"/>
              <w:ind w:left="200" w:right="528" w:hanging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Получатель:</w:t>
            </w:r>
            <w:r>
              <w:rPr>
                <w:sz w:val="18"/>
                <w:szCs w:val="22"/>
                <w:u w:val="single"/>
              </w:rPr>
              <w:tab/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pacing w:val="-4"/>
                <w:sz w:val="18"/>
                <w:szCs w:val="22"/>
              </w:rPr>
              <w:t xml:space="preserve"> </w:t>
            </w:r>
            <w:r>
              <w:rPr>
                <w:rStyle w:val="Grame"/>
                <w:sz w:val="18"/>
                <w:szCs w:val="22"/>
              </w:rPr>
              <w:t xml:space="preserve">получателя </w:t>
            </w:r>
            <w:r>
              <w:rPr>
                <w:rStyle w:val="Grame"/>
                <w:sz w:val="18"/>
                <w:szCs w:val="22"/>
                <w:u w:val="single"/>
              </w:rPr>
              <w:t xml:space="preserve"> </w:t>
              <w:tab/>
              <w:tab/>
            </w:r>
            <w:r>
              <w:rPr>
                <w:sz w:val="18"/>
                <w:szCs w:val="22"/>
              </w:rPr>
              <w:t xml:space="preserve"> р/с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в</w:t>
            </w:r>
            <w:r>
              <w:rPr>
                <w:sz w:val="18"/>
                <w:szCs w:val="22"/>
                <w:u w:val="single"/>
              </w:rPr>
              <w:tab/>
              <w:tab/>
            </w:r>
            <w:r>
              <w:rPr>
                <w:sz w:val="18"/>
                <w:szCs w:val="22"/>
              </w:rPr>
              <w:t xml:space="preserve"> к/с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БИК 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</w:r>
          </w:p>
          <w:p>
            <w:pPr>
              <w:pStyle w:val="Tableparagraph"/>
              <w:tabs>
                <w:tab w:val="clear" w:pos="720"/>
                <w:tab w:val="left" w:pos="4699" w:leader="none"/>
              </w:tabs>
              <w:spacing w:lineRule="exact" w:line="218"/>
              <w:ind w:left="200" w:hanging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Назначение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платежа: 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</w:r>
          </w:p>
          <w:p>
            <w:pPr>
              <w:pStyle w:val="Tableparagraph"/>
              <w:spacing w:before="2" w:after="10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>
            <w:pPr>
              <w:pStyle w:val="Tableparagraph"/>
              <w:tabs>
                <w:tab w:val="clear" w:pos="720"/>
                <w:tab w:val="left" w:pos="4583" w:leader="none"/>
              </w:tabs>
              <w:spacing w:lineRule="exact" w:line="219"/>
              <w:ind w:left="200" w:hanging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Тел.: </w:t>
            </w:r>
            <w:r>
              <w:rPr>
                <w:sz w:val="18"/>
                <w:szCs w:val="22"/>
                <w:u w:val="single" w:color="323232"/>
              </w:rPr>
              <w:t xml:space="preserve"> </w:t>
              <w:tab/>
            </w:r>
          </w:p>
          <w:p>
            <w:pPr>
              <w:pStyle w:val="Tableparagraph"/>
              <w:tabs>
                <w:tab w:val="clear" w:pos="720"/>
                <w:tab w:val="left" w:pos="4523" w:leader="none"/>
              </w:tabs>
              <w:spacing w:lineRule="exact" w:line="219"/>
              <w:ind w:left="200" w:hanging="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Эл. почта: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</w:r>
          </w:p>
          <w:p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>
            <w:pPr>
              <w:pStyle w:val="Tableparagraph"/>
              <w:spacing w:before="11" w:after="10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>
            <w:pPr>
              <w:pStyle w:val="Tableparagraph"/>
              <w:tabs>
                <w:tab w:val="clear" w:pos="720"/>
                <w:tab w:val="left" w:pos="2385" w:leader="none"/>
                <w:tab w:val="left" w:pos="2589" w:leader="none"/>
                <w:tab w:val="left" w:pos="4470" w:leader="none"/>
              </w:tabs>
              <w:spacing w:before="0" w:after="0"/>
              <w:ind w:left="975" w:right="745" w:hanging="776"/>
              <w:rPr/>
            </w:pP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  <w:tab/>
            </w:r>
            <w:r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  <w:u w:val="single"/>
              </w:rPr>
              <w:t xml:space="preserve"> </w:t>
              <w:tab/>
              <w:tab/>
            </w:r>
            <w:r>
              <w:rPr>
                <w:sz w:val="18"/>
                <w:szCs w:val="22"/>
              </w:rPr>
              <w:t>/ подпись</w:t>
              <w:tab/>
              <w:tab/>
              <w:t>расшифровка</w:t>
            </w:r>
            <w:r>
              <w:rPr>
                <w:spacing w:val="-6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подписи</w:t>
            </w:r>
          </w:p>
          <w:p>
            <w:pPr>
              <w:pStyle w:val="Tableparagraph"/>
              <w:spacing w:lineRule="exact" w:line="218" w:before="100" w:after="100"/>
              <w:ind w:left="200" w:hanging="0"/>
              <w:jc w:val="both"/>
              <w:rPr/>
            </w:pPr>
            <w:r>
              <w:rPr>
                <w:rStyle w:val="Spelle"/>
                <w:sz w:val="18"/>
                <w:szCs w:val="22"/>
              </w:rPr>
              <w:t>м.п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4243" w:type="dxa"/>
            <w:tcBorders/>
          </w:tcPr>
          <w:p>
            <w:pPr>
              <w:pStyle w:val="Tableparagraph"/>
              <w:spacing w:lineRule="exact" w:line="183" w:before="0" w:after="0"/>
              <w:ind w:left="493" w:right="305" w:hanging="0"/>
              <w:rPr>
                <w:sz w:val="18"/>
                <w:szCs w:val="22"/>
              </w:rPr>
            </w:pPr>
            <w:r>
              <w:rPr>
                <w:rStyle w:val="StrongEmphasis"/>
                <w:bCs w:val="false"/>
                <w:sz w:val="18"/>
                <w:szCs w:val="22"/>
              </w:rPr>
              <w:t>Оператор:</w:t>
            </w:r>
          </w:p>
          <w:p>
            <w:pPr>
              <w:pStyle w:val="Style22"/>
              <w:shd w:fill="FFFFFF" w:val="clear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ООО «Электронная торговая площадка», ИНН  1655269981</w:t>
            </w:r>
          </w:p>
          <w:p>
            <w:pPr>
              <w:pStyle w:val="Style22"/>
              <w:shd w:fill="FFFFFF" w:val="clear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ОГРН 1131690035124,  КПП 165501001</w:t>
            </w:r>
          </w:p>
          <w:p>
            <w:pPr>
              <w:pStyle w:val="Style22"/>
              <w:shd w:fill="FFFFFF" w:val="clear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Номинальный счет (для задатков) 40702810412020574079  в филиал «Корпоративный» ПАО «Совкомбанк»</w:t>
            </w:r>
          </w:p>
          <w:p>
            <w:pPr>
              <w:pStyle w:val="Style22"/>
              <w:shd w:fill="FFFFFF" w:val="clear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БИК 044525360</w:t>
            </w:r>
          </w:p>
          <w:p>
            <w:pPr>
              <w:pStyle w:val="Style22"/>
              <w:shd w:fill="FFFFFF" w:val="clear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к/с 30101810445250000360</w:t>
            </w:r>
          </w:p>
          <w:p>
            <w:pPr>
              <w:pStyle w:val="Style22"/>
              <w:shd w:fill="FFFFFF" w:val="clear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rFonts w:cs="Verdana" w:ascii="Verdana" w:hAnsi="Verdana"/>
                <w:color w:val="333333"/>
                <w:sz w:val="17"/>
                <w:szCs w:val="17"/>
              </w:rPr>
              <w:t> </w:t>
            </w:r>
          </w:p>
          <w:p>
            <w:pPr>
              <w:pStyle w:val="Style22"/>
              <w:shd w:fill="FFFFFF" w:val="clear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Директор____________М.В.Думпе</w:t>
            </w:r>
          </w:p>
          <w:p>
            <w:pPr>
              <w:pStyle w:val="Tableparagraph"/>
              <w:tabs>
                <w:tab w:val="clear" w:pos="720"/>
                <w:tab w:val="left" w:pos="2587" w:leader="none"/>
              </w:tabs>
              <w:spacing w:lineRule="atLeast" w:line="440" w:before="0" w:after="0"/>
              <w:ind w:left="493" w:right="1168" w:hanging="0"/>
              <w:rPr>
                <w:rFonts w:ascii="Verdana" w:hAnsi="Verdana" w:cs="Verdana"/>
                <w:color w:val="333333"/>
                <w:sz w:val="18"/>
                <w:szCs w:val="22"/>
              </w:rPr>
            </w:pPr>
            <w:r>
              <w:rPr>
                <w:rFonts w:cs="Verdana" w:ascii="Verdana" w:hAnsi="Verdana"/>
                <w:color w:val="333333"/>
                <w:sz w:val="18"/>
                <w:szCs w:val="22"/>
              </w:rPr>
            </w:r>
          </w:p>
        </w:tc>
      </w:tr>
    </w:tbl>
    <w:p>
      <w:pPr>
        <w:pStyle w:val="Style22"/>
        <w:shd w:fill="FFFFFF" w:val="clear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cs="Verdana" w:ascii="Verdana" w:hAnsi="Verdana"/>
          <w:color w:val="000000"/>
          <w:sz w:val="17"/>
          <w:szCs w:val="17"/>
        </w:rPr>
        <w:t> </w:t>
      </w:r>
    </w:p>
    <w:p>
      <w:pPr>
        <w:pStyle w:val="Normal"/>
        <w:keepNext w:val="true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</w:r>
    </w:p>
    <w:p>
      <w:pPr>
        <w:pStyle w:val="Normal"/>
        <w:keepNext w:val="true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gutter="0" w:header="720" w:top="7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  <w:font w:name="Courier New">
    <w:charset w:val="cc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/>
      </w:rPr>
    </w:pPr>
    <w:r>
      <w:rPr>
        <w:b/>
      </w:rPr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Text">
    <w:name w:val="text"/>
    <w:basedOn w:val="1"/>
    <w:qFormat/>
    <w:rPr/>
  </w:style>
  <w:style w:type="character" w:styleId="Style15">
    <w:name w:val="Верхний колонтитул Знак"/>
    <w:basedOn w:val="1"/>
    <w:qFormat/>
    <w:rPr/>
  </w:style>
  <w:style w:type="character" w:styleId="Style16">
    <w:name w:val="Нижний колонтитул Знак"/>
    <w:basedOn w:val="1"/>
    <w:qFormat/>
    <w:rPr/>
  </w:style>
  <w:style w:type="character" w:styleId="InternetLink">
    <w:name w:val="Hyperlink"/>
    <w:rPr>
      <w:color w:val="0563C1"/>
      <w:u w:val="single"/>
    </w:rPr>
  </w:style>
  <w:style w:type="character" w:styleId="Spelle">
    <w:name w:val="spelle"/>
    <w:qFormat/>
    <w:rPr/>
  </w:style>
  <w:style w:type="character" w:styleId="StrongEmphasis">
    <w:name w:val="Strong"/>
    <w:qFormat/>
    <w:rPr>
      <w:b/>
      <w:bCs/>
    </w:rPr>
  </w:style>
  <w:style w:type="character" w:styleId="Grame">
    <w:name w:val="grame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sz w:val="24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ConsNormal">
    <w:name w:val="ConsNormal"/>
    <w:qFormat/>
    <w:pPr>
      <w:widowControl w:val="false"/>
      <w:suppressAutoHyphens w:val="tru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bidi w:val="0"/>
    </w:pPr>
    <w:rPr>
      <w:rFonts w:ascii="Arial" w:hAnsi="Arial" w:eastAsia="Times New Roman" w:cs="Arial"/>
      <w:b/>
      <w:color w:val="auto"/>
      <w:sz w:val="16"/>
      <w:szCs w:val="20"/>
      <w:lang w:val="ru-RU" w:eastAsia="zh-CN" w:bidi="ar-SA"/>
    </w:rPr>
  </w:style>
  <w:style w:type="paragraph" w:styleId="TextBodyIndent">
    <w:name w:val="Body Text Indent"/>
    <w:basedOn w:val="Normal"/>
    <w:pPr>
      <w:ind w:left="0" w:right="0" w:firstLine="708"/>
      <w:jc w:val="both"/>
    </w:pPr>
    <w:rPr>
      <w:sz w:val="24"/>
      <w:szCs w:val="24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</w:rPr>
  </w:style>
  <w:style w:type="paragraph" w:styleId="Zagolovok6">
    <w:name w:val="zagolovok6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21">
    <w:name w:val="Средняя сетка 1 - Акцент 21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веб)"/>
    <w:basedOn w:val="Normal"/>
    <w:qFormat/>
    <w:pPr>
      <w:suppressAutoHyphens w:val="false"/>
      <w:spacing w:before="100" w:after="100"/>
    </w:pPr>
    <w:rPr>
      <w:rFonts w:eastAsia="Times New Roman"/>
      <w:sz w:val="24"/>
      <w:szCs w:val="24"/>
    </w:rPr>
  </w:style>
  <w:style w:type="paragraph" w:styleId="Tableparagraph">
    <w:name w:val="tableparagraph"/>
    <w:basedOn w:val="Normal"/>
    <w:qFormat/>
    <w:pPr>
      <w:suppressAutoHyphens w:val="false"/>
      <w:spacing w:before="100" w:after="100"/>
    </w:pPr>
    <w:rPr>
      <w:rFonts w:eastAsia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2021-10-08T11:32:00Z</dcterms:created>
  <dc:creator>Reanimator 98</dc:creator>
  <dc:description/>
  <cp:keywords/>
  <dc:language>en-US</dc:language>
  <cp:lastModifiedBy>Пользователь</cp:lastModifiedBy>
  <cp:lastPrinted>2017-03-17T19:23:00Z</cp:lastPrinted>
  <dcterms:modified xsi:type="dcterms:W3CDTF">2024-04-10T15:47:00Z</dcterms:modified>
  <cp:revision>12</cp:revision>
  <dc:subject/>
  <dc:title>ДОГОВОР О ЗАДАТКЕ No</dc:title>
</cp:coreProperties>
</file>